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8C" w:rsidRPr="00593F8C" w:rsidRDefault="00593F8C" w:rsidP="00593F8C">
      <w:bookmarkStart w:id="0" w:name="_GoBack"/>
      <w:bookmarkEnd w:id="0"/>
    </w:p>
    <w:p w:rsidR="00593F8C" w:rsidRPr="00593F8C" w:rsidRDefault="00593F8C" w:rsidP="00593F8C">
      <w:r w:rsidRPr="00593F8C">
        <w:rPr>
          <w:b/>
          <w:bCs/>
        </w:rPr>
        <w:t>Corte di Cassazione, sez. VI Civile – 1, ordinanza 24 ottobre 2017 – 6 febbraio 2018, n. 2857</w:t>
      </w:r>
      <w:r w:rsidRPr="00593F8C">
        <w:br/>
      </w:r>
      <w:r w:rsidRPr="00593F8C">
        <w:rPr>
          <w:i/>
          <w:iCs/>
        </w:rPr>
        <w:t xml:space="preserve">Presidente/Relatore </w:t>
      </w:r>
      <w:proofErr w:type="spellStart"/>
      <w:r w:rsidRPr="00593F8C">
        <w:rPr>
          <w:i/>
          <w:iCs/>
        </w:rPr>
        <w:t>Dogliotti</w:t>
      </w:r>
      <w:proofErr w:type="spellEnd"/>
    </w:p>
    <w:p w:rsidR="00593F8C" w:rsidRPr="00593F8C" w:rsidRDefault="00593F8C" w:rsidP="00593F8C">
      <w:r w:rsidRPr="00593F8C">
        <w:rPr>
          <w:i/>
          <w:iCs/>
        </w:rPr>
        <w:t xml:space="preserve">Fatto </w:t>
      </w:r>
      <w:proofErr w:type="gramStart"/>
      <w:r w:rsidRPr="00593F8C">
        <w:rPr>
          <w:i/>
          <w:iCs/>
        </w:rPr>
        <w:t>e</w:t>
      </w:r>
      <w:proofErr w:type="gramEnd"/>
      <w:r w:rsidRPr="00593F8C">
        <w:rPr>
          <w:i/>
          <w:iCs/>
        </w:rPr>
        <w:t xml:space="preserve"> diritto</w:t>
      </w:r>
    </w:p>
    <w:p w:rsidR="00593F8C" w:rsidRPr="00593F8C" w:rsidRDefault="00593F8C" w:rsidP="00593F8C">
      <w:r w:rsidRPr="00593F8C">
        <w:t>Con sentenza in data l maggio 2016, la Corte d’Appello di Venezia, Sezione Minorenni, confermava la sentenza del locale Tribunale per Minorenni, che aveva dichiarato l’adottabilità della minore B.C.J. , nata nel (…).</w:t>
      </w:r>
      <w:r w:rsidRPr="00593F8C">
        <w:br/>
        <w:t>Ricorre per cassazione la madre della minore, B.L. . Resiste con controricorso la tutrice.</w:t>
      </w:r>
      <w:r w:rsidRPr="00593F8C">
        <w:br/>
        <w:t>Vanno innanzitutto considerate le sollevate questioni di carattere processuale. Va precisato che la ricorrente propone questioni (già esaminate dal giudice d’appello e rigettate con argomentazioni approfondite e convincenti) e nulla in sostanza aggiunge di nuovo al riguardo.</w:t>
      </w:r>
      <w:r w:rsidRPr="00593F8C">
        <w:br/>
        <w:t>Non si ravvisa alcun pregiudizio al diritto di difesa: come chiarito dal giudice a quo ed emergente dagli atti, fin dall’apertura del procedimento, la B. fu avvertita della facoltà di nominare un difensore di fiducia e le venne nominato uno d’ufficio. Questi, dopo alcuni mesi, comunicava di non riuscire a mettersi in contatto con l’odierna ricorrente, ma in quel periodo nessun atto o incombente processuale era stato svolto. Successivamente la B. si costituì con proprio difensore di fiducia.</w:t>
      </w:r>
      <w:r w:rsidRPr="00593F8C">
        <w:br/>
        <w:t>Quanto alle relazioni inviate dal Servizio Sociale che la ricorrente non avrebbe potuto esaminare, va osservato che esse riguardavano l’inserimento del minore nella famiglia affidataria, e dunque non presentavano rilevanza al fine della valutazione dell’abbandono e della posizione e condizione della madre.</w:t>
      </w:r>
      <w:r w:rsidRPr="00593F8C">
        <w:br/>
        <w:t xml:space="preserve">Quanto alla situazione di abbandono, è bensì vero che l’art. 1 L. 184 del 1983 riconosce il diritto del minore a vivere nella propria </w:t>
      </w:r>
      <w:proofErr w:type="spellStart"/>
      <w:r w:rsidRPr="00593F8C">
        <w:t>famiglia,ma</w:t>
      </w:r>
      <w:proofErr w:type="spellEnd"/>
      <w:r w:rsidRPr="00593F8C">
        <w:t xml:space="preserve"> l’art. 8 precisa che sussiste abbandono in caso di mancanza di assistenza morale e materiale da parte dei genitori.</w:t>
      </w:r>
      <w:r w:rsidRPr="00593F8C">
        <w:br/>
        <w:t xml:space="preserve">L’abbandono si configura come grave e irreversibile violazione degli obblighi dei genitori di educazione, mantenimento ed istruzione dei figli, ai sensi dell’art. 30 </w:t>
      </w:r>
      <w:proofErr w:type="spellStart"/>
      <w:r w:rsidRPr="00593F8C">
        <w:t>Cost</w:t>
      </w:r>
      <w:proofErr w:type="spellEnd"/>
      <w:r w:rsidRPr="00593F8C">
        <w:t xml:space="preserve">. e 147, 315 vis </w:t>
      </w:r>
      <w:proofErr w:type="gramStart"/>
      <w:r w:rsidRPr="00593F8C">
        <w:t>c.c..</w:t>
      </w:r>
      <w:proofErr w:type="gramEnd"/>
      <w:r w:rsidRPr="00593F8C">
        <w:t xml:space="preserve"> Ma tale irreversibilità va correlata alle esigenze di armonico sviluppo dei minori, e dunque l’eventuale recupero della inadeguatezza genitoriale dovrebbe essere determinato, certo e ragionevolmente non lungo, dovendosi pertanto verificare la concreta possibilità di pregiudizio per il minore dovuto all’incertezza e alla durata del percorso di eventuale recupero genitoriale (così la giurisprudenza ampiamente consolidata di questa Corte: tra le altre </w:t>
      </w:r>
      <w:proofErr w:type="spellStart"/>
      <w:r w:rsidRPr="00593F8C">
        <w:t>Cass</w:t>
      </w:r>
      <w:proofErr w:type="spellEnd"/>
      <w:r w:rsidRPr="00593F8C">
        <w:t>. n. 1837 del 2011; 19609 del 2011).</w:t>
      </w:r>
      <w:r w:rsidRPr="00593F8C">
        <w:br/>
        <w:t>Sostanzialmente in tal senso si configurano i vari documenti internazionali che spesso si richiamano, dalla Convenzione di New York a quella di Strasburgo, alla Carta dei diritti fondamentali dell’Unione Europe.</w:t>
      </w:r>
      <w:r w:rsidRPr="00593F8C">
        <w:br/>
        <w:t xml:space="preserve">Va altresì precisato che non contrasta con tale impostazione la decisione della CEDU del 3/10/2015 (S.H. - Italia) che sottolinea, del tutto </w:t>
      </w:r>
      <w:proofErr w:type="spellStart"/>
      <w:r w:rsidRPr="00593F8C">
        <w:t>condivisibilmente</w:t>
      </w:r>
      <w:proofErr w:type="spellEnd"/>
      <w:r w:rsidRPr="00593F8C">
        <w:t>, la necessità che sia stata predisposta un’azione di aiuto e sostegno alla famiglia, di cui essa eventualmente non abbia saputo o potuto approfittare.</w:t>
      </w:r>
      <w:r w:rsidRPr="00593F8C">
        <w:br/>
        <w:t xml:space="preserve">Nella specie, come precisa il giudice a quo, gli operatori del servizio sociale avevano riscontrato gravi carenze nelle attenzioni e cure prestate dalla B. alla bambina, anche quando erano state ospitate entrambe prima in una, poi in un'altra struttura. La madre rifiutava di effettuare un percorso volto a risolvere le sue problematiche personali, che non riguardavano disturbi di natura psichiatrica o elementi patologici, ma difficoltà e malesseri di natura psicologica, individuate, anche a mezzo di appositi test dagli psicologi dei servizi sociali. È stata giustificata pertanto l’esclusione di una </w:t>
      </w:r>
      <w:proofErr w:type="spellStart"/>
      <w:r w:rsidRPr="00593F8C">
        <w:t>C.T.U.,apparendo</w:t>
      </w:r>
      <w:proofErr w:type="spellEnd"/>
      <w:r w:rsidRPr="00593F8C">
        <w:t xml:space="preserve"> la causa completamente istruita sulla base delle relazioni dei Servizi.</w:t>
      </w:r>
      <w:r w:rsidRPr="00593F8C">
        <w:br/>
        <w:t>È appena il caso di precisare che la durata del procedimento, talora riprovevole (ma nella specie non vi sono elementi per valutarla), non è idonea comunque a incidere sul contenuto della pronuncia.</w:t>
      </w:r>
      <w:r w:rsidRPr="00593F8C">
        <w:br/>
        <w:t>Va pertanto rigettato il ricorso confermandosi la sentenza della Corte d’Appello.</w:t>
      </w:r>
      <w:r w:rsidRPr="00593F8C">
        <w:br/>
        <w:t>La natura della causa e la posizione delle parti richiedono la compensazione delle spese.</w:t>
      </w:r>
    </w:p>
    <w:p w:rsidR="00593F8C" w:rsidRPr="00593F8C" w:rsidRDefault="00593F8C" w:rsidP="00593F8C">
      <w:r w:rsidRPr="00593F8C">
        <w:rPr>
          <w:i/>
          <w:iCs/>
        </w:rPr>
        <w:t>P.Q.M.</w:t>
      </w:r>
    </w:p>
    <w:p w:rsidR="00593F8C" w:rsidRPr="00593F8C" w:rsidRDefault="00593F8C" w:rsidP="00593F8C">
      <w:r w:rsidRPr="00593F8C">
        <w:lastRenderedPageBreak/>
        <w:t>La Corte rigetta il ricorso; compensa le spese tra le parti.</w:t>
      </w:r>
      <w:r w:rsidRPr="00593F8C">
        <w:br/>
        <w:t>In caso di diffusione del presente provvedimento, omettere le generalità e gli altri dati identificativi, a norma dell’art. 52 d.lgs. 196/03, in quanto imposto dalla legge.</w:t>
      </w:r>
    </w:p>
    <w:p w:rsidR="004F7A3C" w:rsidRDefault="004F7A3C"/>
    <w:sectPr w:rsidR="004F7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9"/>
    <w:rsid w:val="004A39C9"/>
    <w:rsid w:val="004F7A3C"/>
    <w:rsid w:val="00593F8C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DEF3"/>
  <w15:chartTrackingRefBased/>
  <w15:docId w15:val="{93E5765C-22B6-47A5-A48C-4D2EC5D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3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0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Company>Hewlett-Packard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2018-02-13T14:11:00Z</dcterms:created>
  <dcterms:modified xsi:type="dcterms:W3CDTF">2018-02-13T14:19:00Z</dcterms:modified>
</cp:coreProperties>
</file>